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9387" w14:textId="53B97C12" w:rsidR="000D578E" w:rsidRDefault="00285070" w:rsidP="00285070">
      <w:pPr>
        <w:jc w:val="center"/>
      </w:pPr>
      <w:r>
        <w:rPr>
          <w:noProof/>
        </w:rPr>
        <w:drawing>
          <wp:inline distT="0" distB="0" distL="0" distR="0" wp14:anchorId="0DD996F5" wp14:editId="63A97BBD">
            <wp:extent cx="2162175" cy="1171178"/>
            <wp:effectExtent l="0" t="0" r="0" b="0"/>
            <wp:docPr id="1" name="Afbeelding 1" descr="Afbeelding met tekst, logo, Lettertype, Handelsmer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ogo, Lettertype, Handelsmerk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27" cy="11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2247F" w14:textId="77777777" w:rsidR="00285070" w:rsidRDefault="00285070"/>
    <w:p w14:paraId="6478E803" w14:textId="77777777" w:rsidR="00285070" w:rsidRDefault="00285070"/>
    <w:p w14:paraId="287769A2" w14:textId="77777777" w:rsidR="00285070" w:rsidRDefault="00285070"/>
    <w:p w14:paraId="3B9F9788" w14:textId="6A2EF037" w:rsidR="00285070" w:rsidRPr="00787130" w:rsidRDefault="00285070" w:rsidP="0062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  <w:lang w:val="nl-NL"/>
        </w:rPr>
      </w:pPr>
      <w:r w:rsidRPr="00787130">
        <w:rPr>
          <w:sz w:val="96"/>
          <w:szCs w:val="96"/>
          <w:lang w:val="nl-NL"/>
        </w:rPr>
        <w:t>BELONINGSBELEID</w:t>
      </w:r>
    </w:p>
    <w:p w14:paraId="31EDE3D2" w14:textId="21488B0C" w:rsidR="00627B9A" w:rsidRPr="00787130" w:rsidRDefault="00627B9A">
      <w:pPr>
        <w:rPr>
          <w:sz w:val="96"/>
          <w:szCs w:val="96"/>
          <w:lang w:val="nl-NL"/>
        </w:rPr>
      </w:pPr>
      <w:r w:rsidRPr="00787130">
        <w:rPr>
          <w:sz w:val="96"/>
          <w:szCs w:val="96"/>
          <w:lang w:val="nl-NL"/>
        </w:rPr>
        <w:br w:type="page"/>
      </w:r>
    </w:p>
    <w:p w14:paraId="7388A36E" w14:textId="47C99C6D" w:rsidR="00627B9A" w:rsidRPr="00627B9A" w:rsidRDefault="00627B9A" w:rsidP="00627B9A">
      <w:pPr>
        <w:spacing w:after="0"/>
        <w:ind w:left="14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4"/>
          <w:lang w:val="nl-NL" w:eastAsia="en-GB"/>
        </w:rPr>
        <w:lastRenderedPageBreak/>
        <w:t>BELONINGSBELEID</w:t>
      </w:r>
      <w:r w:rsidRPr="00627B9A">
        <w:rPr>
          <w:rFonts w:ascii="Calibri" w:eastAsia="Calibri" w:hAnsi="Calibri" w:cs="Calibri"/>
          <w:color w:val="000000"/>
          <w:sz w:val="19"/>
          <w:lang w:val="nl-NL" w:eastAsia="en-GB"/>
        </w:rPr>
        <w:t xml:space="preserve"> </w:t>
      </w:r>
      <w:r w:rsidRPr="00627B9A">
        <w:rPr>
          <w:rFonts w:ascii="Calibri" w:eastAsia="Calibri" w:hAnsi="Calibri" w:cs="Calibri"/>
          <w:color w:val="000000"/>
          <w:sz w:val="24"/>
          <w:lang w:val="nl-NL" w:eastAsia="en-GB"/>
        </w:rPr>
        <w:t>MEDEWERKERS</w:t>
      </w:r>
      <w:r w:rsidRPr="00627B9A">
        <w:rPr>
          <w:rFonts w:ascii="Calibri" w:eastAsia="Calibri" w:hAnsi="Calibri" w:cs="Calibri"/>
          <w:color w:val="000000"/>
          <w:sz w:val="19"/>
          <w:lang w:val="nl-NL" w:eastAsia="en-GB"/>
        </w:rPr>
        <w:t xml:space="preserve">   </w:t>
      </w:r>
      <w:r w:rsidRPr="00627B9A">
        <w:rPr>
          <w:rFonts w:ascii="Calibri" w:eastAsia="Calibri" w:hAnsi="Calibri" w:cs="Calibri"/>
          <w:color w:val="000000"/>
          <w:sz w:val="24"/>
          <w:lang w:val="nl-NL" w:eastAsia="en-GB"/>
        </w:rPr>
        <w:t xml:space="preserve"> </w:t>
      </w:r>
    </w:p>
    <w:p w14:paraId="5BF2B5DC" w14:textId="77777777" w:rsidR="00627B9A" w:rsidRPr="00627B9A" w:rsidRDefault="00627B9A" w:rsidP="00627B9A">
      <w:pPr>
        <w:spacing w:after="0"/>
        <w:ind w:left="14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 </w:t>
      </w:r>
    </w:p>
    <w:p w14:paraId="09379F5A" w14:textId="77777777" w:rsidR="00627B9A" w:rsidRPr="00627B9A" w:rsidRDefault="00627B9A" w:rsidP="00627B9A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  <w:t>Doelomschrijving</w:t>
      </w:r>
      <w:r w:rsidRPr="00627B9A">
        <w:rPr>
          <w:rFonts w:ascii="Calibri" w:eastAsia="Calibri" w:hAnsi="Calibri" w:cs="Calibri"/>
          <w:color w:val="000000"/>
          <w:sz w:val="20"/>
          <w:u w:color="000000"/>
          <w:lang w:val="nl-NL" w:eastAsia="en-GB"/>
        </w:rPr>
        <w:t xml:space="preserve">  </w:t>
      </w:r>
    </w:p>
    <w:p w14:paraId="35E8FEC9" w14:textId="70321BA2" w:rsidR="00627B9A" w:rsidRPr="00627B9A" w:rsidRDefault="00627B9A" w:rsidP="00627B9A">
      <w:pPr>
        <w:spacing w:after="5" w:line="248" w:lineRule="auto"/>
        <w:ind w:left="24" w:hanging="10"/>
        <w:rPr>
          <w:rFonts w:ascii="Calibri" w:eastAsia="Calibri" w:hAnsi="Calibri" w:cs="Calibri"/>
          <w:color w:val="000000"/>
          <w:sz w:val="20"/>
          <w:lang w:val="nl-NL" w:eastAsia="en-GB"/>
        </w:rPr>
      </w:pPr>
      <w:r>
        <w:rPr>
          <w:rFonts w:ascii="Calibri" w:eastAsia="Calibri" w:hAnsi="Calibri" w:cs="Calibri"/>
          <w:color w:val="000000"/>
          <w:sz w:val="20"/>
          <w:lang w:val="nl-NL" w:eastAsia="en-GB"/>
        </w:rPr>
        <w:t>V.O.F. Meijer Roden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is een assurantiekantoor, dat bemiddelt in schade</w:t>
      </w:r>
      <w:r w:rsidR="00787130">
        <w:rPr>
          <w:rFonts w:ascii="Calibri" w:eastAsia="Calibri" w:hAnsi="Calibri" w:cs="Calibri"/>
          <w:color w:val="000000"/>
          <w:sz w:val="20"/>
          <w:lang w:val="nl-NL" w:eastAsia="en-GB"/>
        </w:rPr>
        <w:t>-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en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levensverzekeringen. Het belang van onze relaties stellen wij voorop en wij passen onze dienstverlening daarbij aan. Wij streven naar een lange termijn relatie met onze klanten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.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Voor onze medewerker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(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s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willen wij een integere, solide en klantgerichte werkgever zijn. Ook in onze bedrijfsstrategie willen wij voor ons eigen bedrijf, financiële risico’s zoveel mogelijk beperken en voorkomen. Onze medewerker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(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s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willen wij een transparant personeelsbeleid bieden, dat consequent wordt toegepast. Wij willen een werkgever zijn, waar onze medewerker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(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s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trots op zijn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en v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an onze medewerker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(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s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eisen wij dat zij handelen in overeenstemming met ons bedrijfsbeleid.  </w:t>
      </w:r>
    </w:p>
    <w:p w14:paraId="46833C9C" w14:textId="77777777" w:rsidR="00627B9A" w:rsidRPr="00627B9A" w:rsidRDefault="00627B9A" w:rsidP="00627B9A">
      <w:pPr>
        <w:spacing w:after="0"/>
        <w:ind w:left="14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 </w:t>
      </w:r>
    </w:p>
    <w:p w14:paraId="33B91379" w14:textId="77777777" w:rsidR="00627B9A" w:rsidRPr="00627B9A" w:rsidRDefault="00627B9A" w:rsidP="00627B9A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  <w:t>Uitgangspunten</w:t>
      </w:r>
      <w:r w:rsidRPr="00627B9A">
        <w:rPr>
          <w:rFonts w:ascii="Calibri" w:eastAsia="Calibri" w:hAnsi="Calibri" w:cs="Calibri"/>
          <w:color w:val="000000"/>
          <w:sz w:val="20"/>
          <w:u w:color="000000"/>
          <w:lang w:val="nl-NL" w:eastAsia="en-GB"/>
        </w:rPr>
        <w:t xml:space="preserve">  </w:t>
      </w:r>
    </w:p>
    <w:p w14:paraId="5E2CEAE3" w14:textId="77777777" w:rsidR="00627B9A" w:rsidRPr="00627B9A" w:rsidRDefault="00627B9A" w:rsidP="00627B9A">
      <w:pPr>
        <w:spacing w:after="5" w:line="248" w:lineRule="auto"/>
        <w:ind w:left="24" w:hanging="1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De volgende uitgangspunten bij het opstellen van ons beloningsbeleid worden gehanteerd.  </w:t>
      </w:r>
    </w:p>
    <w:p w14:paraId="7C3BEFD0" w14:textId="77777777" w:rsidR="00627B9A" w:rsidRPr="00627B9A" w:rsidRDefault="00627B9A" w:rsidP="00627B9A">
      <w:pPr>
        <w:numPr>
          <w:ilvl w:val="0"/>
          <w:numId w:val="1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eastAsia="en-GB"/>
        </w:rPr>
      </w:pPr>
      <w:proofErr w:type="spellStart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>Klantbelang</w:t>
      </w:r>
      <w:proofErr w:type="spellEnd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  <w:proofErr w:type="spellStart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>centraal</w:t>
      </w:r>
      <w:proofErr w:type="spellEnd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 xml:space="preserve">  </w:t>
      </w:r>
    </w:p>
    <w:p w14:paraId="226BE73D" w14:textId="77777777" w:rsidR="00627B9A" w:rsidRPr="00627B9A" w:rsidRDefault="00627B9A" w:rsidP="00627B9A">
      <w:pPr>
        <w:numPr>
          <w:ilvl w:val="0"/>
          <w:numId w:val="1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eastAsia="en-GB"/>
        </w:rPr>
        <w:t xml:space="preserve">Lange </w:t>
      </w:r>
      <w:proofErr w:type="spellStart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>termijn</w:t>
      </w:r>
      <w:proofErr w:type="spellEnd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 xml:space="preserve"> </w:t>
      </w:r>
      <w:proofErr w:type="spellStart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>doelstelling</w:t>
      </w:r>
      <w:proofErr w:type="spellEnd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 xml:space="preserve">  </w:t>
      </w:r>
    </w:p>
    <w:p w14:paraId="2092DF8F" w14:textId="77777777" w:rsidR="00627B9A" w:rsidRPr="00627B9A" w:rsidRDefault="00627B9A" w:rsidP="00627B9A">
      <w:pPr>
        <w:numPr>
          <w:ilvl w:val="0"/>
          <w:numId w:val="1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eastAsia="en-GB"/>
        </w:rPr>
      </w:pPr>
      <w:proofErr w:type="spellStart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>Transparant</w:t>
      </w:r>
      <w:proofErr w:type="spellEnd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 xml:space="preserve">  </w:t>
      </w:r>
    </w:p>
    <w:p w14:paraId="3D9746F8" w14:textId="77777777" w:rsidR="00627B9A" w:rsidRPr="00627B9A" w:rsidRDefault="00627B9A" w:rsidP="00627B9A">
      <w:pPr>
        <w:numPr>
          <w:ilvl w:val="0"/>
          <w:numId w:val="1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eastAsia="en-GB"/>
        </w:rPr>
      </w:pPr>
      <w:proofErr w:type="spellStart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>Eenvoudig</w:t>
      </w:r>
      <w:proofErr w:type="spellEnd"/>
      <w:r w:rsidRPr="00627B9A">
        <w:rPr>
          <w:rFonts w:ascii="Calibri" w:eastAsia="Calibri" w:hAnsi="Calibri" w:cs="Calibri"/>
          <w:color w:val="000000"/>
          <w:sz w:val="20"/>
          <w:lang w:eastAsia="en-GB"/>
        </w:rPr>
        <w:t xml:space="preserve">  </w:t>
      </w:r>
    </w:p>
    <w:p w14:paraId="6F8A5FA6" w14:textId="77777777" w:rsidR="00627B9A" w:rsidRPr="00627B9A" w:rsidRDefault="00627B9A" w:rsidP="00627B9A">
      <w:pPr>
        <w:numPr>
          <w:ilvl w:val="0"/>
          <w:numId w:val="1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Voldoen aan wet- en regelgeving (AFM en DNB)  </w:t>
      </w:r>
    </w:p>
    <w:p w14:paraId="30D9875B" w14:textId="77777777" w:rsidR="00627B9A" w:rsidRPr="00627B9A" w:rsidRDefault="00627B9A" w:rsidP="00627B9A">
      <w:pPr>
        <w:spacing w:after="0"/>
        <w:ind w:left="14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 </w:t>
      </w:r>
    </w:p>
    <w:p w14:paraId="242A7B89" w14:textId="77777777" w:rsidR="00627B9A" w:rsidRPr="00627B9A" w:rsidRDefault="00627B9A" w:rsidP="00627B9A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color w:val="000000"/>
          <w:sz w:val="20"/>
          <w:u w:val="single" w:color="000000"/>
          <w:lang w:eastAsia="en-GB"/>
        </w:rPr>
      </w:pPr>
      <w:proofErr w:type="spellStart"/>
      <w:r w:rsidRPr="00627B9A">
        <w:rPr>
          <w:rFonts w:ascii="Calibri" w:eastAsia="Calibri" w:hAnsi="Calibri" w:cs="Calibri"/>
          <w:color w:val="000000"/>
          <w:sz w:val="20"/>
          <w:u w:val="single" w:color="000000"/>
          <w:lang w:eastAsia="en-GB"/>
        </w:rPr>
        <w:t>Beschrijving</w:t>
      </w:r>
      <w:proofErr w:type="spellEnd"/>
      <w:r w:rsidRPr="00627B9A">
        <w:rPr>
          <w:rFonts w:ascii="Calibri" w:eastAsia="Calibri" w:hAnsi="Calibri" w:cs="Calibri"/>
          <w:color w:val="000000"/>
          <w:sz w:val="20"/>
          <w:u w:val="single" w:color="000000"/>
          <w:lang w:eastAsia="en-GB"/>
        </w:rPr>
        <w:t xml:space="preserve"> </w:t>
      </w:r>
      <w:proofErr w:type="spellStart"/>
      <w:r w:rsidRPr="00627B9A">
        <w:rPr>
          <w:rFonts w:ascii="Calibri" w:eastAsia="Calibri" w:hAnsi="Calibri" w:cs="Calibri"/>
          <w:color w:val="000000"/>
          <w:sz w:val="20"/>
          <w:u w:val="single" w:color="000000"/>
          <w:lang w:eastAsia="en-GB"/>
        </w:rPr>
        <w:t>beloning</w:t>
      </w:r>
      <w:proofErr w:type="spellEnd"/>
      <w:r w:rsidRPr="00627B9A">
        <w:rPr>
          <w:rFonts w:ascii="Calibri" w:eastAsia="Calibri" w:hAnsi="Calibri" w:cs="Calibri"/>
          <w:color w:val="000000"/>
          <w:sz w:val="20"/>
          <w:u w:color="000000"/>
          <w:lang w:eastAsia="en-GB"/>
        </w:rPr>
        <w:t xml:space="preserve">  </w:t>
      </w:r>
    </w:p>
    <w:p w14:paraId="38841EC4" w14:textId="77777777" w:rsidR="00787130" w:rsidRDefault="00627B9A" w:rsidP="00627B9A">
      <w:pPr>
        <w:numPr>
          <w:ilvl w:val="0"/>
          <w:numId w:val="2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V.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O.F. Meijer Roden 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hanteert voor haar 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medewerker(s)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alleen een vast bruto maandsalaris + vakantiegeld. </w:t>
      </w:r>
    </w:p>
    <w:p w14:paraId="0CD20992" w14:textId="170553A0" w:rsidR="00627B9A" w:rsidRPr="00627B9A" w:rsidRDefault="00787130" w:rsidP="00627B9A">
      <w:pPr>
        <w:numPr>
          <w:ilvl w:val="0"/>
          <w:numId w:val="2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val="nl-NL" w:eastAsia="en-GB"/>
        </w:rPr>
      </w:pPr>
      <w:r>
        <w:rPr>
          <w:rFonts w:ascii="Calibri" w:eastAsia="Calibri" w:hAnsi="Calibri" w:cs="Calibri"/>
          <w:color w:val="000000"/>
          <w:sz w:val="20"/>
          <w:lang w:val="nl-NL" w:eastAsia="en-GB"/>
        </w:rPr>
        <w:t>Er kan een auto van de zaak worden toegewezen door de directie. Afspraken hierover zijn vastgelegd.</w:t>
      </w:r>
      <w:r w:rsidR="00627B9A"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</w:t>
      </w:r>
    </w:p>
    <w:p w14:paraId="4AD872ED" w14:textId="63ADE5E6" w:rsidR="00627B9A" w:rsidRPr="00627B9A" w:rsidRDefault="00627B9A" w:rsidP="00627B9A">
      <w:pPr>
        <w:spacing w:after="0"/>
        <w:ind w:left="720"/>
        <w:rPr>
          <w:rFonts w:ascii="Calibri" w:eastAsia="Calibri" w:hAnsi="Calibri" w:cs="Calibri"/>
          <w:color w:val="000000"/>
          <w:sz w:val="20"/>
          <w:lang w:val="nl-NL" w:eastAsia="en-GB"/>
        </w:rPr>
      </w:pPr>
    </w:p>
    <w:p w14:paraId="6CBDC0E4" w14:textId="6D2B3F8C" w:rsidR="00627B9A" w:rsidRPr="00627B9A" w:rsidRDefault="00627B9A" w:rsidP="00627B9A">
      <w:pPr>
        <w:spacing w:after="5" w:line="248" w:lineRule="auto"/>
        <w:ind w:left="24" w:hanging="1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Onze onderneming handelt altijd in het belang van onze klant en bemiddelt volledig onafhankelijk en objectief.   </w:t>
      </w:r>
    </w:p>
    <w:p w14:paraId="469DE004" w14:textId="77777777" w:rsidR="00627B9A" w:rsidRPr="00627B9A" w:rsidRDefault="00627B9A" w:rsidP="00627B9A">
      <w:pPr>
        <w:spacing w:after="0"/>
        <w:ind w:left="14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 </w:t>
      </w:r>
    </w:p>
    <w:p w14:paraId="31A7D697" w14:textId="77777777" w:rsidR="00627B9A" w:rsidRPr="00627B9A" w:rsidRDefault="00627B9A" w:rsidP="00627B9A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  <w:t>Transparant beloningsbeleid</w:t>
      </w:r>
      <w:r w:rsidRPr="00627B9A">
        <w:rPr>
          <w:rFonts w:ascii="Calibri" w:eastAsia="Calibri" w:hAnsi="Calibri" w:cs="Calibri"/>
          <w:color w:val="000000"/>
          <w:sz w:val="20"/>
          <w:u w:color="000000"/>
          <w:lang w:val="nl-NL" w:eastAsia="en-GB"/>
        </w:rPr>
        <w:t xml:space="preserve">  </w:t>
      </w:r>
    </w:p>
    <w:p w14:paraId="0EE0303B" w14:textId="54673F76" w:rsidR="00627B9A" w:rsidRPr="00627B9A" w:rsidRDefault="00627B9A" w:rsidP="00627B9A">
      <w:pPr>
        <w:spacing w:after="5" w:line="248" w:lineRule="auto"/>
        <w:ind w:left="24" w:hanging="1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Ons beloningsbeleid is transparant en wij geven aan hoe onze medewerker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(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s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worden beloond. Hoe 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V.O.F. Meijer Roden 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wordt beloond staat in ons dienstverleningsdocument (werkwijzer algemeen) vermeld.   </w:t>
      </w:r>
    </w:p>
    <w:p w14:paraId="49A704F3" w14:textId="77777777" w:rsidR="00627B9A" w:rsidRPr="00627B9A" w:rsidRDefault="00627B9A" w:rsidP="00627B9A">
      <w:pPr>
        <w:spacing w:after="0"/>
        <w:ind w:left="14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 </w:t>
      </w:r>
    </w:p>
    <w:p w14:paraId="2775BCFD" w14:textId="7D870A79" w:rsidR="00627B9A" w:rsidRPr="00627B9A" w:rsidRDefault="00627B9A" w:rsidP="00627B9A">
      <w:pPr>
        <w:spacing w:after="5" w:line="248" w:lineRule="auto"/>
        <w:ind w:left="24" w:hanging="1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Onze medewerker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(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s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worden goed beloond maar er gaan geen prikkels uit die kunnen leiden tot onverantwoorde risico's en onzorgvuldige behandeling van klanten.  </w:t>
      </w:r>
    </w:p>
    <w:p w14:paraId="6AE00029" w14:textId="77777777" w:rsidR="00627B9A" w:rsidRPr="00627B9A" w:rsidRDefault="00627B9A" w:rsidP="00627B9A">
      <w:pPr>
        <w:spacing w:after="0"/>
        <w:ind w:left="14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 </w:t>
      </w:r>
    </w:p>
    <w:p w14:paraId="2E732553" w14:textId="77777777" w:rsidR="00627B9A" w:rsidRPr="00627B9A" w:rsidRDefault="00627B9A" w:rsidP="00627B9A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u w:val="single" w:color="000000"/>
          <w:lang w:val="nl-NL" w:eastAsia="en-GB"/>
        </w:rPr>
        <w:t>Evaluatie</w:t>
      </w:r>
      <w:r w:rsidRPr="00627B9A">
        <w:rPr>
          <w:rFonts w:ascii="Calibri" w:eastAsia="Calibri" w:hAnsi="Calibri" w:cs="Calibri"/>
          <w:color w:val="000000"/>
          <w:sz w:val="20"/>
          <w:u w:color="000000"/>
          <w:lang w:val="nl-NL" w:eastAsia="en-GB"/>
        </w:rPr>
        <w:t xml:space="preserve">  </w:t>
      </w:r>
    </w:p>
    <w:p w14:paraId="126BA185" w14:textId="77777777" w:rsidR="00627B9A" w:rsidRPr="00627B9A" w:rsidRDefault="00627B9A" w:rsidP="00627B9A">
      <w:pPr>
        <w:spacing w:after="5" w:line="248" w:lineRule="auto"/>
        <w:ind w:left="24" w:hanging="1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Jaarlijks vindt door de verantwoordelijken een evaluatie plaats van het beloningsbeleid.  </w:t>
      </w:r>
    </w:p>
    <w:p w14:paraId="46201FEB" w14:textId="77777777" w:rsidR="00627B9A" w:rsidRPr="00627B9A" w:rsidRDefault="00627B9A" w:rsidP="00627B9A">
      <w:pPr>
        <w:numPr>
          <w:ilvl w:val="0"/>
          <w:numId w:val="3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Voldoet het beloningsbeleid nog aan onze uitgangspunten?  </w:t>
      </w:r>
    </w:p>
    <w:p w14:paraId="5975417A" w14:textId="77777777" w:rsidR="00627B9A" w:rsidRPr="00627B9A" w:rsidRDefault="00627B9A" w:rsidP="00627B9A">
      <w:pPr>
        <w:numPr>
          <w:ilvl w:val="0"/>
          <w:numId w:val="3"/>
        </w:numPr>
        <w:spacing w:after="5" w:line="248" w:lineRule="auto"/>
        <w:ind w:hanging="36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Zo wordt er gekeken of er nog wijzigingen zijn in wet- en regelgeving welke consequenties hebben voor het beloningsbeleid.  </w:t>
      </w:r>
    </w:p>
    <w:p w14:paraId="025DCDA0" w14:textId="4C1C2789" w:rsidR="00627B9A" w:rsidRPr="00627B9A" w:rsidRDefault="00627B9A" w:rsidP="00627B9A">
      <w:pPr>
        <w:numPr>
          <w:ilvl w:val="0"/>
          <w:numId w:val="3"/>
        </w:numPr>
        <w:spacing w:after="34" w:line="248" w:lineRule="auto"/>
        <w:ind w:hanging="360"/>
        <w:rPr>
          <w:rFonts w:ascii="Calibri" w:eastAsia="Calibri" w:hAnsi="Calibri" w:cs="Calibri"/>
          <w:color w:val="000000"/>
          <w:sz w:val="20"/>
          <w:lang w:val="nl-NL" w:eastAsia="en-GB"/>
        </w:rPr>
      </w:pP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Zijn er medewerker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(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>s</w:t>
      </w:r>
      <w:r>
        <w:rPr>
          <w:rFonts w:ascii="Calibri" w:eastAsia="Calibri" w:hAnsi="Calibri" w:cs="Calibri"/>
          <w:color w:val="000000"/>
          <w:sz w:val="20"/>
          <w:lang w:val="nl-NL" w:eastAsia="en-GB"/>
        </w:rPr>
        <w:t>)</w:t>
      </w:r>
      <w:r w:rsidRPr="00627B9A">
        <w:rPr>
          <w:rFonts w:ascii="Calibri" w:eastAsia="Calibri" w:hAnsi="Calibri" w:cs="Calibri"/>
          <w:color w:val="000000"/>
          <w:sz w:val="20"/>
          <w:lang w:val="nl-NL" w:eastAsia="en-GB"/>
        </w:rPr>
        <w:t xml:space="preserve"> die in aanmerking komen voor een salarisverhoging. Waarop zijn deze gebaseerd?  </w:t>
      </w:r>
    </w:p>
    <w:p w14:paraId="770B220C" w14:textId="77777777" w:rsidR="00285070" w:rsidRPr="00627B9A" w:rsidRDefault="00285070" w:rsidP="00285070">
      <w:pPr>
        <w:jc w:val="center"/>
        <w:rPr>
          <w:sz w:val="96"/>
          <w:szCs w:val="96"/>
          <w:lang w:val="nl-NL"/>
        </w:rPr>
      </w:pPr>
    </w:p>
    <w:sectPr w:rsidR="00285070" w:rsidRPr="0062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D1BD4"/>
    <w:multiLevelType w:val="hybridMultilevel"/>
    <w:tmpl w:val="A0AA3604"/>
    <w:lvl w:ilvl="0" w:tplc="89748CD6">
      <w:start w:val="1"/>
      <w:numFmt w:val="bullet"/>
      <w:lvlText w:val="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01260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5E89F6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304872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4F4DE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724E9C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F0BEDA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B10A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C41C2C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F66E41"/>
    <w:multiLevelType w:val="hybridMultilevel"/>
    <w:tmpl w:val="F1D04630"/>
    <w:lvl w:ilvl="0" w:tplc="F0DCB802">
      <w:start w:val="1"/>
      <w:numFmt w:val="bullet"/>
      <w:lvlText w:val="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E421EC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27A78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CEC4C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A9AE6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5C13DE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F0C5BE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4CA02E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C9036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845A1E"/>
    <w:multiLevelType w:val="hybridMultilevel"/>
    <w:tmpl w:val="DE725F8A"/>
    <w:lvl w:ilvl="0" w:tplc="991A0A9C">
      <w:start w:val="1"/>
      <w:numFmt w:val="bullet"/>
      <w:lvlText w:val="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A2C0A4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64832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A3068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89568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C995A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A9EB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0D598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5ABF8C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0443419">
    <w:abstractNumId w:val="0"/>
  </w:num>
  <w:num w:numId="2" w16cid:durableId="284118465">
    <w:abstractNumId w:val="2"/>
  </w:num>
  <w:num w:numId="3" w16cid:durableId="68479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70"/>
    <w:rsid w:val="000D578E"/>
    <w:rsid w:val="00285070"/>
    <w:rsid w:val="00627B9A"/>
    <w:rsid w:val="0078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91A3"/>
  <w15:chartTrackingRefBased/>
  <w15:docId w15:val="{13361421-03F9-4017-AA94-B3928EAB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Greetha Suurd | V.O.F Meijer Roden</dc:creator>
  <cp:keywords/>
  <dc:description/>
  <cp:lastModifiedBy>Greetha Suurd | V.O.F Meijer Roden</cp:lastModifiedBy>
  <cp:revision>2</cp:revision>
  <dcterms:created xsi:type="dcterms:W3CDTF">2023-09-14T13:08:00Z</dcterms:created>
  <dcterms:modified xsi:type="dcterms:W3CDTF">2023-09-14T13:08:00Z</dcterms:modified>
</cp:coreProperties>
</file>